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F" w:rsidRPr="002D12AF" w:rsidRDefault="002D12AF" w:rsidP="002D12AF">
      <w:pPr>
        <w:spacing w:before="100" w:beforeAutospacing="1" w:after="100" w:afterAutospacing="1" w:line="288" w:lineRule="atLeast"/>
        <w:outlineLvl w:val="1"/>
        <w:rPr>
          <w:rFonts w:ascii="AUPassataRegular" w:eastAsia="Times New Roman" w:hAnsi="AUPassataRegular" w:cs="Times New Roman"/>
          <w:color w:val="212121"/>
          <w:kern w:val="36"/>
          <w:sz w:val="29"/>
          <w:szCs w:val="29"/>
          <w:lang w:val="en" w:eastAsia="da-DK"/>
        </w:rPr>
      </w:pPr>
      <w:r w:rsidRPr="002D12AF">
        <w:rPr>
          <w:rFonts w:ascii="AUPassataRegular" w:eastAsia="Times New Roman" w:hAnsi="AUPassataRegular" w:cs="Times New Roman"/>
          <w:color w:val="212121"/>
          <w:kern w:val="36"/>
          <w:sz w:val="29"/>
          <w:szCs w:val="29"/>
          <w:lang w:val="en" w:eastAsia="da-DK"/>
        </w:rPr>
        <w:t>Screening for duplicate text</w:t>
      </w:r>
    </w:p>
    <w:p w:rsidR="002D12AF" w:rsidRPr="002D12AF" w:rsidRDefault="002D12AF" w:rsidP="002D12AF">
      <w:pPr>
        <w:spacing w:before="100" w:beforeAutospacing="1" w:after="240" w:line="360" w:lineRule="atLeast"/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</w:pPr>
      <w:r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All submitted doctoral theses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will </w:t>
      </w:r>
      <w:r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be screened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for duplicate text</w:t>
      </w:r>
      <w:r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before</w:t>
      </w:r>
      <w:r w:rsidR="004F3B0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the dean’s</w:t>
      </w:r>
      <w:r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decision about appointing an assessment committee is taken</w:t>
      </w:r>
      <w:r w:rsidR="00622683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and </w:t>
      </w:r>
      <w:r w:rsidR="00622683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before the thesis</w:t>
      </w:r>
      <w:r w:rsidR="00622683"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</w:t>
      </w:r>
      <w:r w:rsidR="00622683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is sent </w:t>
      </w:r>
      <w:r w:rsidR="00622683"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to the assessment committee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. </w:t>
      </w:r>
      <w:r w:rsidR="004F3B0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Screening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is part of the </w:t>
      </w:r>
      <w:r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faculty’s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work </w:t>
      </w:r>
      <w:r w:rsidR="00622683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for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ensuring high scientific standards and responsible conduct of research. </w:t>
      </w:r>
    </w:p>
    <w:p w:rsidR="002D12AF" w:rsidRPr="002D12AF" w:rsidRDefault="002D12AF" w:rsidP="002D12AF">
      <w:pPr>
        <w:spacing w:before="100" w:beforeAutospacing="1" w:after="240" w:line="360" w:lineRule="atLeast"/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</w:pP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Immediately after </w:t>
      </w:r>
      <w:proofErr w:type="gramStart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submission</w:t>
      </w:r>
      <w:proofErr w:type="gramEnd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the </w:t>
      </w:r>
      <w:r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thesis</w:t>
      </w:r>
      <w:r w:rsidR="00622683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will be sent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to </w:t>
      </w:r>
      <w:r w:rsidR="004F3B0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The National Library</w:t>
      </w:r>
      <w:r w:rsidR="00622683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, Health Sciences, for screening. 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The text in the </w:t>
      </w:r>
      <w:r w:rsidR="00CA3C8D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thesis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</w:t>
      </w:r>
      <w:proofErr w:type="gramStart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will be compared</w:t>
      </w:r>
      <w:proofErr w:type="gramEnd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to text</w:t>
      </w:r>
      <w:r w:rsidR="00622683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s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from relevant databases</w:t>
      </w:r>
      <w:r w:rsidR="00622683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by the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us</w:t>
      </w:r>
      <w:r w:rsidR="00622683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e of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</w:t>
      </w:r>
      <w:proofErr w:type="spellStart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iThenticate</w:t>
      </w:r>
      <w:proofErr w:type="spellEnd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. </w:t>
      </w:r>
    </w:p>
    <w:p w:rsidR="002D12AF" w:rsidRPr="002D12AF" w:rsidRDefault="002D12AF" w:rsidP="002D12AF">
      <w:pPr>
        <w:spacing w:before="100" w:beforeAutospacing="1" w:after="240" w:line="360" w:lineRule="atLeast"/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</w:pP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The screening will take place within </w:t>
      </w:r>
      <w:proofErr w:type="gramStart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3</w:t>
      </w:r>
      <w:proofErr w:type="gramEnd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business days, and a report will be returned to </w:t>
      </w:r>
      <w:r w:rsidR="00622683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the </w:t>
      </w:r>
      <w:r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Faculty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. </w:t>
      </w:r>
    </w:p>
    <w:p w:rsidR="002D12AF" w:rsidRPr="002D12AF" w:rsidRDefault="002D12AF" w:rsidP="002D12AF">
      <w:pPr>
        <w:spacing w:before="100" w:beforeAutospacing="1" w:after="240" w:line="360" w:lineRule="atLeast"/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</w:pP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A committee on duplicate text screening comprised of representatives from the departments will assess questionable duplicate text.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815"/>
      </w:tblGrid>
      <w:tr w:rsidR="002D12AF" w:rsidRPr="004F3B0F" w:rsidTr="002D12AF"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2D12AF">
            <w:pPr>
              <w:spacing w:before="100" w:beforeAutospacing="1" w:after="240" w:line="36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  <w:r w:rsidRPr="002D12A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da-DK"/>
              </w:rPr>
              <w:t xml:space="preserve">Duplicate text is not found by </w:t>
            </w:r>
            <w:proofErr w:type="spellStart"/>
            <w:r w:rsidRPr="002D12A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da-DK"/>
              </w:rPr>
              <w:t>iT</w:t>
            </w:r>
            <w:r w:rsidR="004F3B0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da-DK"/>
              </w:rPr>
              <w:t>h</w:t>
            </w:r>
            <w:r w:rsidRPr="002D12A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da-DK"/>
              </w:rPr>
              <w:t>enticate</w:t>
            </w:r>
            <w:proofErr w:type="spellEnd"/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2D12AF">
            <w:pPr>
              <w:spacing w:before="100" w:beforeAutospacing="1" w:after="240" w:line="36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  <w:r w:rsidRPr="002D12A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da-DK"/>
              </w:rPr>
              <w:t xml:space="preserve">Duplicate text is found by </w:t>
            </w:r>
            <w:proofErr w:type="spellStart"/>
            <w:r w:rsidRPr="002D12A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da-DK"/>
              </w:rPr>
              <w:t>iT</w:t>
            </w:r>
            <w:r w:rsidR="004F3B0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da-DK"/>
              </w:rPr>
              <w:t>h</w:t>
            </w:r>
            <w:r w:rsidRPr="002D12A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da-DK"/>
              </w:rPr>
              <w:t>enticate</w:t>
            </w:r>
            <w:proofErr w:type="spellEnd"/>
          </w:p>
        </w:tc>
      </w:tr>
      <w:tr w:rsidR="002D12AF" w:rsidRPr="004F3B0F" w:rsidTr="002D12AF"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CA3C8D">
            <w:pPr>
              <w:spacing w:before="100" w:beforeAutospacing="1" w:after="240" w:line="36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A report is sent to the </w:t>
            </w:r>
            <w:r w:rsidR="00CA3C8D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Faculty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by </w:t>
            </w:r>
            <w:r w:rsidR="004F3B0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The National Library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, Health Sciences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CA3C8D">
            <w:pPr>
              <w:spacing w:before="100" w:beforeAutospacing="1" w:after="240" w:line="36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A report with a remark of duplicate text is sent to the </w:t>
            </w:r>
            <w:r w:rsidR="00CA3C8D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Faculty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by </w:t>
            </w:r>
            <w:r w:rsidR="004F3B0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The National Library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</w:t>
            </w:r>
            <w:r w:rsidR="00B44570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(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Health Sciences</w:t>
            </w:r>
            <w:r w:rsidR="00B44570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)</w:t>
            </w:r>
          </w:p>
        </w:tc>
      </w:tr>
      <w:tr w:rsidR="002D12AF" w:rsidRPr="004F3B0F" w:rsidTr="002D12AF"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CA3C8D" w:rsidP="00B44570">
            <w:pPr>
              <w:spacing w:before="100" w:beforeAutospacing="1" w:after="240" w:line="36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ThedDoctoral</w:t>
            </w:r>
            <w:proofErr w:type="spellEnd"/>
            <w:r w:rsidR="002D12AF"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thesis</w:t>
            </w:r>
            <w:r w:rsidR="002D12AF"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is </w:t>
            </w:r>
            <w:r w:rsidR="00B44570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ready for</w:t>
            </w:r>
            <w:r w:rsidR="002D12AF"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the</w:t>
            </w:r>
            <w:r w:rsidR="00B44570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appointed</w:t>
            </w:r>
            <w:r w:rsidR="002D12AF"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assessment committee 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2D12AF">
            <w:pPr>
              <w:spacing w:before="100" w:beforeAutospacing="1" w:after="240" w:line="36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The </w:t>
            </w:r>
            <w:r w:rsidR="00CA3C8D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doctoral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</w:t>
            </w:r>
            <w:r w:rsidR="00CA3C8D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thesis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and the report is sent to the committee on duplicate text screening</w:t>
            </w:r>
          </w:p>
        </w:tc>
      </w:tr>
      <w:tr w:rsidR="002D12AF" w:rsidRPr="004F3B0F" w:rsidTr="002D12AF"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2D12A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2D12AF">
            <w:pPr>
              <w:spacing w:before="100" w:beforeAutospacing="1" w:after="240" w:line="36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The duplicate text found by </w:t>
            </w:r>
            <w:proofErr w:type="spellStart"/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iTenticate</w:t>
            </w:r>
            <w:proofErr w:type="spellEnd"/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 is assessed by the committee</w:t>
            </w:r>
          </w:p>
        </w:tc>
      </w:tr>
      <w:tr w:rsidR="002D12AF" w:rsidRPr="004F3B0F" w:rsidTr="002D12AF"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2D12A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B44570">
            <w:pPr>
              <w:spacing w:before="100" w:beforeAutospacing="1" w:after="240" w:line="36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If the committee on duplicate text screening finds that the duplicate text does not indicate plagiarism, the </w:t>
            </w:r>
            <w:r w:rsidR="00CA3C8D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doctoral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</w:t>
            </w:r>
            <w:r w:rsidR="00CA3C8D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thesis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is </w:t>
            </w:r>
            <w:r w:rsidR="00B44570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ready for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the</w:t>
            </w:r>
            <w:r w:rsidR="00B44570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appointed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assessment committee </w:t>
            </w:r>
          </w:p>
        </w:tc>
      </w:tr>
      <w:tr w:rsidR="002D12AF" w:rsidRPr="004F3B0F" w:rsidTr="002D12AF"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2D12A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5B0452">
            <w:pPr>
              <w:spacing w:before="100" w:beforeAutospacing="1" w:after="240" w:line="36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If the committee finds that the duplicate text is questionable, the committee sends a statement to the </w:t>
            </w:r>
            <w:r w:rsidR="00CA3C8D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Faculty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, which </w:t>
            </w:r>
            <w:proofErr w:type="gramStart"/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will be forwarded</w:t>
            </w:r>
            <w:proofErr w:type="gramEnd"/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to the </w:t>
            </w:r>
            <w:r w:rsidR="00D0578C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doctoral candidate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. In </w:t>
            </w:r>
            <w:proofErr w:type="gramStart"/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continuation</w:t>
            </w:r>
            <w:proofErr w:type="gramEnd"/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hereof the date of the </w:t>
            </w:r>
            <w:proofErr w:type="spellStart"/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defence</w:t>
            </w:r>
            <w:proofErr w:type="spellEnd"/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might be postponed. Depending of the type and extent of duplicate text </w:t>
            </w:r>
            <w:r w:rsidR="00D0578C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the administration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might forward a recommendation for decision to the</w:t>
            </w:r>
            <w:r w:rsidR="005B0452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relevant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head of department</w:t>
            </w:r>
            <w:r w:rsidR="00B44570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. The head of </w:t>
            </w:r>
            <w:r w:rsidR="00B44570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lastRenderedPageBreak/>
              <w:t>department may confer her/his decision with the dean.</w:t>
            </w:r>
            <w:bookmarkStart w:id="0" w:name="_GoBack"/>
            <w:bookmarkEnd w:id="0"/>
          </w:p>
        </w:tc>
      </w:tr>
      <w:tr w:rsidR="002D12AF" w:rsidRPr="004F3B0F" w:rsidTr="002D12AF"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2D12A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D12AF" w:rsidRPr="002D12AF" w:rsidRDefault="002D12AF" w:rsidP="00D0578C">
            <w:pPr>
              <w:spacing w:before="100" w:beforeAutospacing="1" w:after="240" w:line="36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</w:pP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The consequence for the </w:t>
            </w:r>
            <w:r w:rsidR="00D0578C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>doctoral candidate</w:t>
            </w:r>
            <w:r w:rsidRPr="002D12AF">
              <w:rPr>
                <w:rFonts w:ascii="Verdana" w:eastAsia="Times New Roman" w:hAnsi="Verdana" w:cs="Times New Roman"/>
                <w:sz w:val="17"/>
                <w:szCs w:val="17"/>
                <w:lang w:val="en-US" w:eastAsia="da-DK"/>
              </w:rPr>
              <w:t xml:space="preserve"> depends on the type and extent of duplicate text</w:t>
            </w:r>
          </w:p>
        </w:tc>
      </w:tr>
    </w:tbl>
    <w:p w:rsidR="002D12AF" w:rsidRPr="002D12AF" w:rsidRDefault="002D12AF" w:rsidP="002D12AF">
      <w:pPr>
        <w:spacing w:before="100" w:beforeAutospacing="1" w:after="240" w:line="360" w:lineRule="atLeast"/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</w:pP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br/>
        <w:t xml:space="preserve">For information on how to avoid duplicate text, please visit the website of </w:t>
      </w:r>
      <w:hyperlink r:id="rId4" w:history="1">
        <w:r w:rsidRPr="002D12AF">
          <w:rPr>
            <w:rFonts w:ascii="Verdana" w:eastAsia="Times New Roman" w:hAnsi="Verdana" w:cs="Times New Roman"/>
            <w:color w:val="281C41"/>
            <w:sz w:val="17"/>
            <w:szCs w:val="17"/>
            <w:bdr w:val="none" w:sz="0" w:space="0" w:color="auto" w:frame="1"/>
            <w:lang w:val="en" w:eastAsia="da-DK"/>
          </w:rPr>
          <w:t>The Office of Research Integrity</w:t>
        </w:r>
      </w:hyperlink>
      <w:r w:rsidR="00D0578C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: </w:t>
      </w:r>
      <w:hyperlink r:id="rId5" w:history="1">
        <w:r w:rsidR="00D0578C" w:rsidRPr="006D4CF5">
          <w:rPr>
            <w:rStyle w:val="Hyperlink"/>
            <w:rFonts w:ascii="Verdana" w:eastAsia="Times New Roman" w:hAnsi="Verdana" w:cs="Times New Roman"/>
            <w:sz w:val="17"/>
            <w:szCs w:val="17"/>
            <w:lang w:val="en" w:eastAsia="da-DK"/>
          </w:rPr>
          <w:t>http://www.au.dk/en/research/responsible-conduct-of-research/</w:t>
        </w:r>
      </w:hyperlink>
      <w:r w:rsidR="00D0578C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 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</w:t>
      </w:r>
    </w:p>
    <w:p w:rsidR="002D12AF" w:rsidRPr="002D12AF" w:rsidRDefault="002D12AF" w:rsidP="002D12AF">
      <w:pPr>
        <w:spacing w:before="100" w:beforeAutospacing="1" w:after="240" w:line="360" w:lineRule="atLeast"/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</w:pP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For questions regarding the screening for duplicate text, please contact </w:t>
      </w:r>
      <w:hyperlink r:id="rId6" w:history="1">
        <w:r w:rsidRPr="002D12AF">
          <w:rPr>
            <w:rFonts w:ascii="Verdana" w:eastAsia="Times New Roman" w:hAnsi="Verdana" w:cs="Times New Roman"/>
            <w:color w:val="281C41"/>
            <w:sz w:val="17"/>
            <w:szCs w:val="17"/>
            <w:bdr w:val="none" w:sz="0" w:space="0" w:color="auto" w:frame="1"/>
            <w:lang w:val="en" w:eastAsia="da-DK"/>
          </w:rPr>
          <w:t>the Graduate School of Health</w:t>
        </w:r>
      </w:hyperlink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</w:t>
      </w:r>
    </w:p>
    <w:p w:rsidR="002D12AF" w:rsidRPr="002D12AF" w:rsidRDefault="002D12AF" w:rsidP="002D12AF">
      <w:pPr>
        <w:spacing w:before="100" w:beforeAutospacing="1" w:after="240" w:line="360" w:lineRule="atLeast"/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</w:pP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For questions regarding duplicate text and the work of the committee on duplicate text </w:t>
      </w:r>
      <w:proofErr w:type="gramStart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screening</w:t>
      </w:r>
      <w:proofErr w:type="gramEnd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please contact the chairman of the committee</w:t>
      </w:r>
      <w:r w:rsidR="00D0578C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Professor</w:t>
      </w:r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Peter </w:t>
      </w:r>
      <w:proofErr w:type="spellStart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>Hokland</w:t>
      </w:r>
      <w:proofErr w:type="spellEnd"/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: </w:t>
      </w:r>
      <w:hyperlink r:id="rId7" w:history="1">
        <w:r w:rsidRPr="002D12AF">
          <w:rPr>
            <w:rFonts w:ascii="Verdana" w:eastAsia="Times New Roman" w:hAnsi="Verdana" w:cs="Times New Roman"/>
            <w:color w:val="281C41"/>
            <w:sz w:val="17"/>
            <w:szCs w:val="17"/>
            <w:bdr w:val="none" w:sz="0" w:space="0" w:color="auto" w:frame="1"/>
            <w:lang w:val="en" w:eastAsia="da-DK"/>
          </w:rPr>
          <w:t>phokland@clin.au.dk</w:t>
        </w:r>
      </w:hyperlink>
      <w:r w:rsidRPr="002D12AF">
        <w:rPr>
          <w:rFonts w:ascii="Verdana" w:eastAsia="Times New Roman" w:hAnsi="Verdana" w:cs="Times New Roman"/>
          <w:color w:val="212121"/>
          <w:sz w:val="17"/>
          <w:szCs w:val="17"/>
          <w:lang w:val="en" w:eastAsia="da-DK"/>
        </w:rPr>
        <w:t xml:space="preserve">  </w:t>
      </w:r>
    </w:p>
    <w:p w:rsidR="00873B0E" w:rsidRPr="002D12AF" w:rsidRDefault="00873B0E">
      <w:pPr>
        <w:rPr>
          <w:lang w:val="en"/>
        </w:rPr>
      </w:pPr>
    </w:p>
    <w:sectPr w:rsidR="00873B0E" w:rsidRPr="002D12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PassataRegula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AF"/>
    <w:rsid w:val="002D12AF"/>
    <w:rsid w:val="004F3B0F"/>
    <w:rsid w:val="005B0452"/>
    <w:rsid w:val="00622683"/>
    <w:rsid w:val="00873B0E"/>
    <w:rsid w:val="00B44570"/>
    <w:rsid w:val="00CA3C8D"/>
    <w:rsid w:val="00D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3C11C-641C-46E3-BE23-2EE17FFB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D12AF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2D12A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05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01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87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okland@clin.a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eschoolhealth@au.dk" TargetMode="External"/><Relationship Id="rId5" Type="http://schemas.openxmlformats.org/officeDocument/2006/relationships/hyperlink" Target="http://www.au.dk/en/research/responsible-conduct-of-research/" TargetMode="External"/><Relationship Id="rId4" Type="http://schemas.openxmlformats.org/officeDocument/2006/relationships/hyperlink" Target="http://ori.hhs.gov/avoiding-plagiarism-self-plagiarism-and-other-questionable-writing-practices-guide-ethical-writ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292</Words>
  <Characters>2483</Characters>
  <Application>Microsoft Office Word</Application>
  <DocSecurity>0</DocSecurity>
  <Lines>275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Scriver</dc:creator>
  <cp:keywords/>
  <dc:description/>
  <cp:lastModifiedBy>Henrik Scriver</cp:lastModifiedBy>
  <cp:revision>2</cp:revision>
  <dcterms:created xsi:type="dcterms:W3CDTF">2017-01-18T10:36:00Z</dcterms:created>
  <dcterms:modified xsi:type="dcterms:W3CDTF">2017-02-10T12:59:00Z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